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F9" w:rsidRPr="00256789" w:rsidRDefault="00422206" w:rsidP="002564F9">
      <w:pPr>
        <w:jc w:val="center"/>
        <w:rPr>
          <w:b/>
          <w:sz w:val="16"/>
          <w:szCs w:val="16"/>
        </w:rPr>
      </w:pPr>
      <w:bookmarkStart w:id="0" w:name="_GoBack"/>
      <w:r w:rsidRPr="00256789">
        <w:rPr>
          <w:bCs/>
          <w:sz w:val="28"/>
          <w:szCs w:val="28"/>
        </w:rPr>
        <w:t>文化部文化資產局</w:t>
      </w:r>
    </w:p>
    <w:p w:rsidR="002564F9" w:rsidRPr="00256789" w:rsidRDefault="00422206" w:rsidP="002564F9">
      <w:pPr>
        <w:jc w:val="center"/>
        <w:rPr>
          <w:sz w:val="44"/>
          <w:szCs w:val="48"/>
        </w:rPr>
      </w:pPr>
      <w:r w:rsidRPr="00256789">
        <w:rPr>
          <w:rFonts w:hint="eastAsia"/>
          <w:sz w:val="44"/>
          <w:szCs w:val="48"/>
        </w:rPr>
        <w:t>文物普查</w:t>
      </w:r>
      <w:r w:rsidR="00605D3A" w:rsidRPr="00256789">
        <w:rPr>
          <w:rFonts w:hint="eastAsia"/>
          <w:sz w:val="44"/>
          <w:szCs w:val="48"/>
        </w:rPr>
        <w:t>與暫行分級</w:t>
      </w:r>
      <w:r w:rsidRPr="00256789">
        <w:rPr>
          <w:rFonts w:hint="eastAsia"/>
          <w:sz w:val="44"/>
          <w:szCs w:val="48"/>
        </w:rPr>
        <w:t>推動之實務與挑戰</w:t>
      </w:r>
    </w:p>
    <w:p w:rsidR="00422206" w:rsidRPr="00256789" w:rsidRDefault="00422206" w:rsidP="00422206">
      <w:pPr>
        <w:jc w:val="center"/>
        <w:rPr>
          <w:bCs/>
          <w:sz w:val="44"/>
          <w:szCs w:val="48"/>
        </w:rPr>
      </w:pPr>
      <w:r w:rsidRPr="00256789">
        <w:rPr>
          <w:rFonts w:hint="eastAsia"/>
          <w:bCs/>
          <w:sz w:val="44"/>
          <w:szCs w:val="48"/>
        </w:rPr>
        <w:t>研討會</w:t>
      </w:r>
    </w:p>
    <w:p w:rsidR="002564F9" w:rsidRPr="00256789" w:rsidRDefault="002564F9" w:rsidP="002564F9">
      <w:pPr>
        <w:jc w:val="center"/>
        <w:rPr>
          <w:b/>
          <w:sz w:val="40"/>
          <w:szCs w:val="40"/>
        </w:rPr>
      </w:pPr>
      <w:r w:rsidRPr="00256789">
        <w:rPr>
          <w:b/>
          <w:sz w:val="32"/>
          <w:szCs w:val="32"/>
        </w:rPr>
        <w:t>【徵稿啟事】</w:t>
      </w:r>
    </w:p>
    <w:p w:rsidR="00605D3A" w:rsidRPr="00256789" w:rsidRDefault="00422206" w:rsidP="00E323BD">
      <w:pPr>
        <w:spacing w:beforeLines="50" w:before="180" w:afterLines="50" w:after="180" w:line="276" w:lineRule="auto"/>
        <w:ind w:firstLine="482"/>
        <w:jc w:val="both"/>
        <w:rPr>
          <w:rFonts w:ascii="標楷體" w:hAnsi="標楷體"/>
          <w:bCs/>
        </w:rPr>
      </w:pPr>
      <w:r w:rsidRPr="00256789">
        <w:rPr>
          <w:rFonts w:ascii="標楷體" w:hAnsi="標楷體" w:hint="eastAsia"/>
          <w:bCs/>
          <w:shd w:val="clear" w:color="auto" w:fill="FFFFFF"/>
        </w:rPr>
        <w:t>我國</w:t>
      </w:r>
      <w:r w:rsidRPr="00256789">
        <w:rPr>
          <w:rFonts w:ascii="標楷體" w:hAnsi="標楷體"/>
          <w:bCs/>
          <w:shd w:val="clear" w:color="auto" w:fill="FFFFFF"/>
        </w:rPr>
        <w:t>2016年</w:t>
      </w:r>
      <w:r w:rsidRPr="00256789">
        <w:rPr>
          <w:rFonts w:ascii="標楷體" w:hAnsi="標楷體" w:hint="eastAsia"/>
          <w:bCs/>
          <w:shd w:val="clear" w:color="auto" w:fill="FFFFFF"/>
        </w:rPr>
        <w:t>7月27日公告的新版</w:t>
      </w:r>
      <w:r w:rsidRPr="00256789">
        <w:rPr>
          <w:rFonts w:ascii="標楷體" w:hAnsi="標楷體"/>
          <w:bCs/>
          <w:shd w:val="clear" w:color="auto" w:fill="FFFFFF"/>
        </w:rPr>
        <w:t>《文化資產保存法》第65條明白規定「</w:t>
      </w:r>
      <w:r w:rsidRPr="00256789">
        <w:rPr>
          <w:rFonts w:ascii="標楷體" w:hAnsi="標楷體"/>
        </w:rPr>
        <w:t>古物依其珍貴稀有價值，分為國寶、重要古物及一般古物。主管機關應定期普查或接受個人、團體提報具古物價值之項目、內容及範圍，依法定程序審查後，列冊追蹤」</w:t>
      </w:r>
      <w:r w:rsidRPr="00256789">
        <w:rPr>
          <w:rFonts w:ascii="標楷體" w:hAnsi="標楷體" w:hint="eastAsia"/>
        </w:rPr>
        <w:t>，</w:t>
      </w:r>
      <w:r w:rsidRPr="00256789">
        <w:rPr>
          <w:rFonts w:ascii="標楷體" w:hAnsi="標楷體"/>
        </w:rPr>
        <w:t>正式宣告文物普查的法源依據，開展</w:t>
      </w:r>
      <w:r w:rsidRPr="00256789">
        <w:rPr>
          <w:rFonts w:ascii="標楷體" w:hAnsi="標楷體" w:hint="eastAsia"/>
        </w:rPr>
        <w:t>了</w:t>
      </w:r>
      <w:r w:rsidRPr="00256789">
        <w:rPr>
          <w:rFonts w:ascii="標楷體" w:hAnsi="標楷體"/>
        </w:rPr>
        <w:t>我國古物類文化資產</w:t>
      </w:r>
      <w:r w:rsidRPr="00256789">
        <w:rPr>
          <w:rFonts w:ascii="標楷體" w:hAnsi="標楷體" w:hint="eastAsia"/>
        </w:rPr>
        <w:t>的新篇章</w:t>
      </w:r>
      <w:r w:rsidRPr="00256789">
        <w:rPr>
          <w:rFonts w:ascii="標楷體" w:hAnsi="標楷體"/>
        </w:rPr>
        <w:t>。</w:t>
      </w:r>
      <w:r w:rsidRPr="00256789">
        <w:rPr>
          <w:rFonts w:ascii="標楷體" w:hAnsi="標楷體" w:hint="eastAsia"/>
        </w:rPr>
        <w:t>同</w:t>
      </w:r>
      <w:r w:rsidRPr="00256789">
        <w:rPr>
          <w:rFonts w:ascii="標楷體" w:hAnsi="標楷體"/>
        </w:rPr>
        <w:t>年10月</w:t>
      </w:r>
      <w:r w:rsidRPr="00256789">
        <w:rPr>
          <w:rFonts w:ascii="標楷體" w:hAnsi="標楷體" w:hint="eastAsia"/>
        </w:rPr>
        <w:t>因應文物普查的規範化，文化部文化資產局更同步</w:t>
      </w:r>
      <w:r w:rsidRPr="00256789">
        <w:rPr>
          <w:rFonts w:ascii="標楷體" w:hAnsi="標楷體"/>
        </w:rPr>
        <w:t>公告〈</w:t>
      </w:r>
      <w:r w:rsidRPr="00256789">
        <w:rPr>
          <w:rFonts w:ascii="標楷體" w:hAnsi="標楷體"/>
          <w:bCs/>
          <w:shd w:val="clear" w:color="auto" w:fill="FFFFFF"/>
        </w:rPr>
        <w:t>文物普查列冊</w:t>
      </w:r>
      <w:r w:rsidRPr="00256789">
        <w:rPr>
          <w:rFonts w:ascii="標楷體" w:hAnsi="標楷體"/>
        </w:rPr>
        <w:t>追蹤</w:t>
      </w:r>
      <w:r w:rsidRPr="00256789">
        <w:rPr>
          <w:rFonts w:ascii="標楷體" w:hAnsi="標楷體"/>
          <w:bCs/>
          <w:shd w:val="clear" w:color="auto" w:fill="FFFFFF"/>
        </w:rPr>
        <w:t>作業應注意事項〉（</w:t>
      </w:r>
      <w:r w:rsidRPr="00256789">
        <w:rPr>
          <w:rFonts w:ascii="標楷體" w:hAnsi="標楷體"/>
          <w:shd w:val="clear" w:color="auto" w:fill="FFFFFF"/>
        </w:rPr>
        <w:t>105年10月25日文授資局物字第1053010654號函訂</w:t>
      </w:r>
      <w:r w:rsidRPr="00256789">
        <w:rPr>
          <w:rFonts w:ascii="標楷體" w:hAnsi="標楷體"/>
          <w:bCs/>
          <w:shd w:val="clear" w:color="auto" w:fill="FFFFFF"/>
        </w:rPr>
        <w:t>），內容明訂普查對象</w:t>
      </w:r>
      <w:r w:rsidRPr="00256789">
        <w:rPr>
          <w:rFonts w:ascii="標楷體" w:hAnsi="標楷體" w:hint="eastAsia"/>
          <w:bCs/>
          <w:shd w:val="clear" w:color="auto" w:fill="FFFFFF"/>
        </w:rPr>
        <w:t>、</w:t>
      </w:r>
      <w:r w:rsidRPr="00256789">
        <w:rPr>
          <w:rFonts w:ascii="標楷體" w:hAnsi="標楷體"/>
          <w:bCs/>
          <w:shd w:val="clear" w:color="auto" w:fill="FFFFFF"/>
        </w:rPr>
        <w:t>階段</w:t>
      </w:r>
      <w:r w:rsidRPr="00256789">
        <w:rPr>
          <w:rFonts w:ascii="標楷體" w:hAnsi="標楷體" w:hint="eastAsia"/>
          <w:bCs/>
          <w:shd w:val="clear" w:color="auto" w:fill="FFFFFF"/>
        </w:rPr>
        <w:t>性的</w:t>
      </w:r>
      <w:r w:rsidRPr="00256789">
        <w:rPr>
          <w:rFonts w:ascii="標楷體" w:hAnsi="標楷體"/>
          <w:bCs/>
          <w:shd w:val="clear" w:color="auto" w:fill="FFFFFF"/>
        </w:rPr>
        <w:t>實施原則</w:t>
      </w:r>
      <w:r w:rsidRPr="00256789">
        <w:rPr>
          <w:rFonts w:ascii="標楷體" w:hAnsi="標楷體" w:hint="eastAsia"/>
          <w:bCs/>
          <w:shd w:val="clear" w:color="auto" w:fill="FFFFFF"/>
        </w:rPr>
        <w:t>、</w:t>
      </w:r>
      <w:r w:rsidRPr="00256789">
        <w:rPr>
          <w:rFonts w:ascii="標楷體" w:hAnsi="標楷體"/>
          <w:bCs/>
          <w:shd w:val="clear" w:color="auto" w:fill="FFFFFF"/>
        </w:rPr>
        <w:t>普查資料的利用與數位化（</w:t>
      </w:r>
      <w:r w:rsidRPr="00256789">
        <w:rPr>
          <w:rFonts w:ascii="標楷體" w:hAnsi="標楷體"/>
        </w:rPr>
        <w:t>共用資料登錄管理平</w:t>
      </w:r>
      <w:proofErr w:type="gramStart"/>
      <w:r w:rsidRPr="00256789">
        <w:rPr>
          <w:rFonts w:ascii="標楷體" w:hAnsi="標楷體"/>
        </w:rPr>
        <w:t>臺</w:t>
      </w:r>
      <w:proofErr w:type="gramEnd"/>
      <w:r w:rsidRPr="00256789">
        <w:rPr>
          <w:rFonts w:ascii="標楷體" w:hAnsi="標楷體"/>
          <w:bCs/>
          <w:shd w:val="clear" w:color="auto" w:fill="FFFFFF"/>
        </w:rPr>
        <w:t>）、以及</w:t>
      </w:r>
      <w:r w:rsidRPr="00256789">
        <w:rPr>
          <w:rFonts w:ascii="標楷體" w:hAnsi="標楷體"/>
        </w:rPr>
        <w:t>文物列冊追蹤後續的作業管理方式</w:t>
      </w:r>
      <w:r w:rsidR="0049653B" w:rsidRPr="00256789">
        <w:rPr>
          <w:rFonts w:ascii="標楷體" w:hAnsi="標楷體" w:hint="eastAsia"/>
        </w:rPr>
        <w:t>，</w:t>
      </w:r>
      <w:r w:rsidR="0049653B" w:rsidRPr="00256789">
        <w:rPr>
          <w:rFonts w:ascii="標楷體" w:hAnsi="標楷體" w:hint="eastAsia"/>
          <w:bCs/>
        </w:rPr>
        <w:t>讓</w:t>
      </w:r>
      <w:r w:rsidR="0049653B" w:rsidRPr="00256789">
        <w:rPr>
          <w:rFonts w:ascii="標楷體" w:hAnsi="標楷體"/>
          <w:bCs/>
        </w:rPr>
        <w:t>中央或地方主管機關</w:t>
      </w:r>
      <w:r w:rsidR="0049653B" w:rsidRPr="00256789">
        <w:rPr>
          <w:rFonts w:ascii="標楷體" w:hAnsi="標楷體" w:hint="eastAsia"/>
          <w:bCs/>
        </w:rPr>
        <w:t>能</w:t>
      </w:r>
      <w:r w:rsidR="0049653B" w:rsidRPr="00256789">
        <w:rPr>
          <w:rFonts w:ascii="標楷體" w:hAnsi="標楷體"/>
          <w:bCs/>
        </w:rPr>
        <w:t>基於「全面性」、「階段性」、「長期性」、「在地性」與「善用資源」幾個原則規劃</w:t>
      </w:r>
      <w:r w:rsidR="0049653B" w:rsidRPr="00256789">
        <w:rPr>
          <w:rFonts w:ascii="標楷體" w:hAnsi="標楷體" w:hint="eastAsia"/>
          <w:bCs/>
        </w:rPr>
        <w:t>自己的</w:t>
      </w:r>
      <w:r w:rsidR="0049653B" w:rsidRPr="00256789">
        <w:rPr>
          <w:rFonts w:ascii="標楷體" w:hAnsi="標楷體"/>
          <w:bCs/>
        </w:rPr>
        <w:t>普查</w:t>
      </w:r>
      <w:r w:rsidR="0049653B" w:rsidRPr="00256789">
        <w:rPr>
          <w:rFonts w:ascii="標楷體" w:hAnsi="標楷體" w:hint="eastAsia"/>
          <w:bCs/>
        </w:rPr>
        <w:t>。</w:t>
      </w:r>
    </w:p>
    <w:p w:rsidR="009C1953" w:rsidRPr="00256789" w:rsidRDefault="00605D3A" w:rsidP="00E323BD">
      <w:pPr>
        <w:spacing w:beforeLines="50" w:before="180" w:afterLines="50" w:after="180" w:line="276" w:lineRule="auto"/>
        <w:ind w:firstLine="482"/>
        <w:jc w:val="both"/>
        <w:rPr>
          <w:rFonts w:ascii="標楷體" w:hAnsi="標楷體"/>
          <w:bCs/>
          <w:shd w:val="clear" w:color="auto" w:fill="FFFFFF"/>
        </w:rPr>
      </w:pPr>
      <w:proofErr w:type="gramStart"/>
      <w:r w:rsidRPr="00256789">
        <w:rPr>
          <w:rFonts w:ascii="標楷體" w:hAnsi="標楷體" w:hint="eastAsia"/>
          <w:bCs/>
          <w:shd w:val="clear" w:color="auto" w:fill="FFFFFF"/>
        </w:rPr>
        <w:t>此外，</w:t>
      </w:r>
      <w:proofErr w:type="gramEnd"/>
      <w:r w:rsidRPr="00256789">
        <w:rPr>
          <w:rFonts w:ascii="標楷體" w:hAnsi="標楷體" w:hint="eastAsia"/>
          <w:bCs/>
          <w:shd w:val="clear" w:color="auto" w:fill="FFFFFF"/>
        </w:rPr>
        <w:t>為了讓國公有文物進入文資審議前，先由各單位進行文物初步的價值評估工作，透過對國公有文物實施完整的文化資產清查與價值評估，作為指定與再利用之依據，凝聚國人對可移動文化資產的珍惜與共識。在此，「暫行分級」的設計係我國所獨創，其內涵也隱含有普查概念，也就是國公有文物應經過完整的清查與價值評估，方能有比較全面的視野提送中央來指定分級。</w:t>
      </w:r>
    </w:p>
    <w:p w:rsidR="00605D3A" w:rsidRPr="00256789" w:rsidRDefault="004B2048" w:rsidP="00E323BD">
      <w:pPr>
        <w:spacing w:beforeLines="50" w:before="180" w:afterLines="50" w:after="180" w:line="276" w:lineRule="auto"/>
        <w:ind w:firstLine="482"/>
        <w:jc w:val="both"/>
        <w:rPr>
          <w:rFonts w:ascii="標楷體" w:hAnsi="標楷體"/>
          <w:bCs/>
        </w:rPr>
      </w:pPr>
      <w:r w:rsidRPr="00256789">
        <w:rPr>
          <w:rFonts w:ascii="標楷體" w:hAnsi="標楷體" w:hint="eastAsia"/>
          <w:bCs/>
        </w:rPr>
        <w:t>自</w:t>
      </w:r>
      <w:r w:rsidRPr="00256789">
        <w:rPr>
          <w:rFonts w:ascii="標楷體" w:hAnsi="標楷體"/>
          <w:bCs/>
        </w:rPr>
        <w:t>《文化資產保存法》</w:t>
      </w:r>
      <w:r w:rsidRPr="00256789">
        <w:rPr>
          <w:rFonts w:ascii="標楷體" w:hAnsi="標楷體" w:hint="eastAsia"/>
          <w:bCs/>
        </w:rPr>
        <w:t>推動文物普查迄今已逾3年，不論是中央或地方單位已執行的成果已逾數十件，各級單位在執行上也面臨不少問題與挑戰，如執行團隊的來源與品質；被調查單位是否能配合文物普查的意願；主管單位後續如何善用文物普查成果，包括指定、修復、出版或推廣；而調查研究過程對於科學儀器或科學數據的利用的程度為何？科學儀器介入的必要性多高？有鑑於此，</w:t>
      </w:r>
      <w:r w:rsidR="00013C56" w:rsidRPr="00256789">
        <w:rPr>
          <w:rFonts w:ascii="標楷體" w:hAnsi="標楷體"/>
          <w:bCs/>
        </w:rPr>
        <w:t>本次</w:t>
      </w:r>
      <w:r w:rsidR="00013C56" w:rsidRPr="00256789">
        <w:rPr>
          <w:rFonts w:ascii="標楷體" w:hAnsi="標楷體" w:hint="eastAsia"/>
          <w:bCs/>
        </w:rPr>
        <w:t>文物普查</w:t>
      </w:r>
      <w:r w:rsidR="00605D3A" w:rsidRPr="00256789">
        <w:rPr>
          <w:rFonts w:ascii="標楷體" w:hAnsi="標楷體" w:hint="eastAsia"/>
          <w:bCs/>
        </w:rPr>
        <w:t>與暫行分級</w:t>
      </w:r>
      <w:r w:rsidR="00013C56" w:rsidRPr="00256789">
        <w:rPr>
          <w:rFonts w:ascii="標楷體" w:hAnsi="標楷體" w:hint="eastAsia"/>
          <w:bCs/>
        </w:rPr>
        <w:t>推動之實務與挑戰</w:t>
      </w:r>
      <w:r w:rsidR="00013C56" w:rsidRPr="00256789">
        <w:rPr>
          <w:rFonts w:ascii="標楷體" w:hAnsi="標楷體"/>
          <w:bCs/>
        </w:rPr>
        <w:t>研討會除了關注</w:t>
      </w:r>
      <w:r w:rsidR="00013C56" w:rsidRPr="00256789">
        <w:rPr>
          <w:rFonts w:ascii="標楷體" w:hAnsi="標楷體" w:hint="eastAsia"/>
          <w:bCs/>
        </w:rPr>
        <w:t>於近年文物普查之成效外</w:t>
      </w:r>
      <w:r w:rsidR="00013C56" w:rsidRPr="00256789">
        <w:rPr>
          <w:rFonts w:ascii="標楷體" w:hAnsi="標楷體"/>
          <w:bCs/>
        </w:rPr>
        <w:t>，期能透過</w:t>
      </w:r>
      <w:r w:rsidR="00013C56" w:rsidRPr="00256789">
        <w:rPr>
          <w:rFonts w:ascii="標楷體" w:hAnsi="標楷體" w:hint="eastAsia"/>
          <w:bCs/>
        </w:rPr>
        <w:t>各</w:t>
      </w:r>
      <w:r w:rsidR="006558F3" w:rsidRPr="00256789">
        <w:rPr>
          <w:rFonts w:ascii="標楷體" w:hAnsi="標楷體" w:hint="eastAsia"/>
          <w:bCs/>
        </w:rPr>
        <w:t>方</w:t>
      </w:r>
      <w:r w:rsidR="00013C56" w:rsidRPr="00256789">
        <w:rPr>
          <w:rFonts w:ascii="標楷體" w:hAnsi="標楷體"/>
          <w:bCs/>
        </w:rPr>
        <w:t>的對話，持續</w:t>
      </w:r>
      <w:r w:rsidR="0049653B" w:rsidRPr="00256789">
        <w:rPr>
          <w:rFonts w:ascii="標楷體" w:hAnsi="標楷體"/>
          <w:bCs/>
        </w:rPr>
        <w:t>建立</w:t>
      </w:r>
      <w:r w:rsidR="004C11C6" w:rsidRPr="00256789">
        <w:rPr>
          <w:rFonts w:ascii="標楷體" w:hAnsi="標楷體" w:hint="eastAsia"/>
          <w:bCs/>
        </w:rPr>
        <w:t>「</w:t>
      </w:r>
      <w:r w:rsidR="0049653B" w:rsidRPr="00256789">
        <w:rPr>
          <w:rFonts w:ascii="標楷體" w:hAnsi="標楷體" w:hint="eastAsia"/>
          <w:bCs/>
        </w:rPr>
        <w:t>文物與</w:t>
      </w:r>
      <w:r w:rsidR="0049653B" w:rsidRPr="00256789">
        <w:rPr>
          <w:rFonts w:ascii="標楷體" w:hAnsi="標楷體"/>
          <w:bCs/>
        </w:rPr>
        <w:t>在地社群</w:t>
      </w:r>
      <w:r w:rsidR="004C11C6" w:rsidRPr="00256789">
        <w:rPr>
          <w:rFonts w:ascii="標楷體" w:hAnsi="標楷體" w:hint="eastAsia"/>
          <w:bCs/>
        </w:rPr>
        <w:t>」及「</w:t>
      </w:r>
      <w:r w:rsidR="0049653B" w:rsidRPr="00256789">
        <w:rPr>
          <w:rFonts w:ascii="標楷體" w:hAnsi="標楷體"/>
          <w:bCs/>
        </w:rPr>
        <w:t>地方知識與人文脈絡</w:t>
      </w:r>
      <w:r w:rsidR="004C11C6" w:rsidRPr="00256789">
        <w:rPr>
          <w:rFonts w:ascii="標楷體" w:hAnsi="標楷體" w:hint="eastAsia"/>
          <w:bCs/>
        </w:rPr>
        <w:t>」</w:t>
      </w:r>
      <w:r w:rsidR="0049653B" w:rsidRPr="00256789">
        <w:rPr>
          <w:rFonts w:ascii="標楷體" w:hAnsi="標楷體"/>
          <w:bCs/>
        </w:rPr>
        <w:t>的梳理</w:t>
      </w:r>
      <w:r w:rsidR="004C11C6" w:rsidRPr="00256789">
        <w:rPr>
          <w:rFonts w:ascii="新細明體" w:eastAsia="新細明體" w:hAnsi="新細明體" w:hint="eastAsia"/>
          <w:bCs/>
        </w:rPr>
        <w:t>、</w:t>
      </w:r>
      <w:r w:rsidR="004C11C6" w:rsidRPr="00256789">
        <w:rPr>
          <w:rFonts w:ascii="標楷體" w:hAnsi="標楷體" w:hint="eastAsia"/>
          <w:bCs/>
        </w:rPr>
        <w:t>「</w:t>
      </w:r>
      <w:r w:rsidR="0049653B" w:rsidRPr="00256789">
        <w:rPr>
          <w:rFonts w:ascii="標楷體" w:hAnsi="標楷體"/>
          <w:bCs/>
        </w:rPr>
        <w:t>物件形態與時空座標</w:t>
      </w:r>
      <w:r w:rsidR="004C11C6" w:rsidRPr="00256789">
        <w:rPr>
          <w:rFonts w:ascii="標楷體" w:hAnsi="標楷體" w:hint="eastAsia"/>
          <w:bCs/>
        </w:rPr>
        <w:t>」</w:t>
      </w:r>
      <w:r w:rsidR="0049653B" w:rsidRPr="00256789">
        <w:rPr>
          <w:rFonts w:ascii="標楷體" w:hAnsi="標楷體"/>
          <w:bCs/>
        </w:rPr>
        <w:t>的深化</w:t>
      </w:r>
      <w:r w:rsidR="004C11C6" w:rsidRPr="00256789">
        <w:rPr>
          <w:rFonts w:ascii="新細明體" w:eastAsia="新細明體" w:hAnsi="新細明體" w:hint="eastAsia"/>
          <w:bCs/>
        </w:rPr>
        <w:t>、</w:t>
      </w:r>
      <w:r w:rsidR="004C11C6" w:rsidRPr="00256789">
        <w:rPr>
          <w:rFonts w:ascii="標楷體" w:hAnsi="標楷體" w:hint="eastAsia"/>
          <w:bCs/>
        </w:rPr>
        <w:t>「</w:t>
      </w:r>
      <w:r w:rsidR="0049653B" w:rsidRPr="00256789">
        <w:rPr>
          <w:rFonts w:ascii="標楷體" w:hAnsi="標楷體" w:hint="eastAsia"/>
          <w:bCs/>
        </w:rPr>
        <w:t>文物</w:t>
      </w:r>
      <w:r w:rsidR="0049653B" w:rsidRPr="00256789">
        <w:rPr>
          <w:rFonts w:ascii="標楷體" w:hAnsi="標楷體"/>
          <w:bCs/>
        </w:rPr>
        <w:t>材料科學與保存環境</w:t>
      </w:r>
      <w:r w:rsidR="004C11C6" w:rsidRPr="00256789">
        <w:rPr>
          <w:rFonts w:ascii="標楷體" w:hAnsi="標楷體" w:hint="eastAsia"/>
          <w:bCs/>
        </w:rPr>
        <w:t>」</w:t>
      </w:r>
      <w:r w:rsidR="0049653B" w:rsidRPr="00256789">
        <w:rPr>
          <w:rFonts w:ascii="標楷體" w:hAnsi="標楷體"/>
          <w:bCs/>
        </w:rPr>
        <w:t>的確認及</w:t>
      </w:r>
      <w:r w:rsidR="004C11C6" w:rsidRPr="00256789">
        <w:rPr>
          <w:rFonts w:ascii="標楷體" w:hAnsi="標楷體" w:hint="eastAsia"/>
          <w:bCs/>
        </w:rPr>
        <w:t>「</w:t>
      </w:r>
      <w:r w:rsidR="0049653B" w:rsidRPr="00256789">
        <w:rPr>
          <w:rFonts w:ascii="標楷體" w:hAnsi="標楷體"/>
          <w:bCs/>
        </w:rPr>
        <w:t>物件圖像資源再利用</w:t>
      </w:r>
      <w:r w:rsidR="004C11C6" w:rsidRPr="00256789">
        <w:rPr>
          <w:rFonts w:ascii="標楷體" w:hAnsi="標楷體" w:hint="eastAsia"/>
          <w:bCs/>
        </w:rPr>
        <w:t>」</w:t>
      </w:r>
      <w:r w:rsidR="0049653B" w:rsidRPr="00256789">
        <w:rPr>
          <w:rFonts w:ascii="標楷體" w:hAnsi="標楷體"/>
          <w:bCs/>
        </w:rPr>
        <w:t>等問題，</w:t>
      </w:r>
      <w:r w:rsidR="004C11C6" w:rsidRPr="00256789">
        <w:rPr>
          <w:rFonts w:ascii="標楷體" w:hAnsi="標楷體" w:hint="eastAsia"/>
          <w:bCs/>
        </w:rPr>
        <w:t>前開</w:t>
      </w:r>
      <w:r w:rsidR="00736FFB" w:rsidRPr="00256789">
        <w:rPr>
          <w:rFonts w:ascii="標楷體" w:hAnsi="標楷體" w:hint="eastAsia"/>
          <w:bCs/>
        </w:rPr>
        <w:t>議題</w:t>
      </w:r>
      <w:r w:rsidR="004C11C6" w:rsidRPr="00256789">
        <w:rPr>
          <w:rFonts w:ascii="標楷體" w:hAnsi="標楷體" w:hint="eastAsia"/>
          <w:bCs/>
        </w:rPr>
        <w:t>皆</w:t>
      </w:r>
      <w:r w:rsidR="0049653B" w:rsidRPr="00256789">
        <w:rPr>
          <w:rFonts w:ascii="標楷體" w:hAnsi="標楷體" w:hint="eastAsia"/>
          <w:bCs/>
        </w:rPr>
        <w:t>涉及文</w:t>
      </w:r>
      <w:r w:rsidR="0049653B" w:rsidRPr="00256789">
        <w:rPr>
          <w:rFonts w:ascii="標楷體" w:hAnsi="標楷體"/>
          <w:bCs/>
        </w:rPr>
        <w:t>物</w:t>
      </w:r>
      <w:r w:rsidR="0049653B" w:rsidRPr="00256789">
        <w:rPr>
          <w:rFonts w:ascii="標楷體" w:hAnsi="標楷體" w:hint="eastAsia"/>
          <w:bCs/>
        </w:rPr>
        <w:t>的</w:t>
      </w:r>
      <w:r w:rsidR="0049653B" w:rsidRPr="00256789">
        <w:rPr>
          <w:rFonts w:ascii="標楷體" w:hAnsi="標楷體"/>
          <w:bCs/>
        </w:rPr>
        <w:t>再現技術與詮釋。</w:t>
      </w:r>
    </w:p>
    <w:p w:rsidR="0049653B" w:rsidRPr="00256789" w:rsidRDefault="0049653B" w:rsidP="00E323BD">
      <w:pPr>
        <w:spacing w:beforeLines="50" w:before="180" w:afterLines="50" w:after="180" w:line="276" w:lineRule="auto"/>
        <w:ind w:firstLine="482"/>
        <w:jc w:val="both"/>
        <w:rPr>
          <w:rFonts w:ascii="標楷體" w:hAnsi="標楷體"/>
          <w:bCs/>
        </w:rPr>
      </w:pPr>
      <w:r w:rsidRPr="00256789">
        <w:rPr>
          <w:rFonts w:ascii="標楷體" w:hAnsi="標楷體" w:hint="eastAsia"/>
          <w:bCs/>
        </w:rPr>
        <w:t>本次研討會透過上述提出的挑戰，擬定三個主題作為主軸，分別是：</w:t>
      </w:r>
    </w:p>
    <w:p w:rsidR="00382AEC" w:rsidRPr="00256789" w:rsidRDefault="00382AEC" w:rsidP="00E323BD">
      <w:pPr>
        <w:spacing w:beforeLines="50" w:before="180" w:afterLines="50" w:after="180" w:line="276" w:lineRule="auto"/>
        <w:ind w:firstLine="480"/>
        <w:jc w:val="both"/>
        <w:rPr>
          <w:sz w:val="26"/>
          <w:szCs w:val="26"/>
        </w:rPr>
      </w:pPr>
      <w:proofErr w:type="gramStart"/>
      <w:r w:rsidRPr="00256789">
        <w:rPr>
          <w:sz w:val="26"/>
          <w:szCs w:val="26"/>
        </w:rPr>
        <w:lastRenderedPageBreak/>
        <w:t>其一、</w:t>
      </w:r>
      <w:proofErr w:type="gramEnd"/>
      <w:r w:rsidR="00422206" w:rsidRPr="00256789">
        <w:rPr>
          <w:rFonts w:hint="eastAsia"/>
          <w:b/>
          <w:kern w:val="0"/>
          <w:sz w:val="26"/>
          <w:szCs w:val="26"/>
        </w:rPr>
        <w:t>文物普查</w:t>
      </w:r>
      <w:r w:rsidR="00605D3A" w:rsidRPr="00256789">
        <w:rPr>
          <w:rFonts w:hint="eastAsia"/>
          <w:b/>
          <w:kern w:val="0"/>
          <w:sz w:val="26"/>
          <w:szCs w:val="26"/>
        </w:rPr>
        <w:t>或暫行分級</w:t>
      </w:r>
      <w:r w:rsidR="00422206" w:rsidRPr="00256789">
        <w:rPr>
          <w:rFonts w:hint="eastAsia"/>
          <w:b/>
          <w:kern w:val="0"/>
          <w:sz w:val="26"/>
          <w:szCs w:val="26"/>
        </w:rPr>
        <w:t>實務分享與回應</w:t>
      </w:r>
      <w:r w:rsidR="00B76819" w:rsidRPr="00256789">
        <w:rPr>
          <w:rFonts w:hint="eastAsia"/>
          <w:sz w:val="26"/>
          <w:szCs w:val="26"/>
        </w:rPr>
        <w:t>。</w:t>
      </w:r>
    </w:p>
    <w:p w:rsidR="00382AEC" w:rsidRPr="00256789" w:rsidRDefault="00382AEC" w:rsidP="00E323BD">
      <w:pPr>
        <w:spacing w:beforeLines="50" w:before="180" w:afterLines="50" w:after="180" w:line="276" w:lineRule="auto"/>
        <w:ind w:firstLine="480"/>
        <w:jc w:val="both"/>
        <w:rPr>
          <w:sz w:val="26"/>
          <w:szCs w:val="26"/>
        </w:rPr>
      </w:pPr>
      <w:proofErr w:type="gramStart"/>
      <w:r w:rsidRPr="00256789">
        <w:rPr>
          <w:sz w:val="26"/>
          <w:szCs w:val="26"/>
        </w:rPr>
        <w:t>其二、</w:t>
      </w:r>
      <w:proofErr w:type="gramEnd"/>
      <w:r w:rsidR="00605D3A" w:rsidRPr="00256789">
        <w:rPr>
          <w:rFonts w:hint="eastAsia"/>
          <w:b/>
          <w:kern w:val="0"/>
          <w:sz w:val="26"/>
          <w:szCs w:val="26"/>
        </w:rPr>
        <w:t>文物普查或暫行分級</w:t>
      </w:r>
      <w:r w:rsidR="00422206" w:rsidRPr="00256789">
        <w:rPr>
          <w:rFonts w:hint="eastAsia"/>
          <w:b/>
          <w:kern w:val="0"/>
          <w:sz w:val="26"/>
          <w:szCs w:val="26"/>
        </w:rPr>
        <w:t>中的文物保護與</w:t>
      </w:r>
      <w:r w:rsidR="00751AD4" w:rsidRPr="00256789">
        <w:rPr>
          <w:rFonts w:hint="eastAsia"/>
          <w:b/>
          <w:kern w:val="0"/>
          <w:sz w:val="26"/>
          <w:szCs w:val="26"/>
        </w:rPr>
        <w:t>科學檢測</w:t>
      </w:r>
      <w:r w:rsidRPr="00256789">
        <w:rPr>
          <w:sz w:val="26"/>
          <w:szCs w:val="26"/>
        </w:rPr>
        <w:t>。</w:t>
      </w:r>
    </w:p>
    <w:p w:rsidR="00382AEC" w:rsidRPr="00256789" w:rsidRDefault="00382AEC" w:rsidP="00E323BD">
      <w:pPr>
        <w:spacing w:beforeLines="50" w:before="180" w:afterLines="50" w:after="180" w:line="276" w:lineRule="auto"/>
        <w:ind w:firstLine="480"/>
        <w:jc w:val="both"/>
        <w:rPr>
          <w:sz w:val="26"/>
          <w:szCs w:val="26"/>
        </w:rPr>
      </w:pPr>
      <w:r w:rsidRPr="00256789">
        <w:rPr>
          <w:sz w:val="26"/>
          <w:szCs w:val="26"/>
        </w:rPr>
        <w:t>其三、</w:t>
      </w:r>
      <w:r w:rsidR="00422206" w:rsidRPr="00256789">
        <w:rPr>
          <w:rFonts w:hint="eastAsia"/>
          <w:b/>
          <w:kern w:val="0"/>
          <w:sz w:val="26"/>
          <w:szCs w:val="26"/>
        </w:rPr>
        <w:t>文物普查與暫行分級程序與法規</w:t>
      </w:r>
      <w:r w:rsidR="00D25229" w:rsidRPr="00256789">
        <w:rPr>
          <w:rFonts w:hint="eastAsia"/>
          <w:b/>
          <w:kern w:val="0"/>
          <w:sz w:val="26"/>
          <w:szCs w:val="26"/>
        </w:rPr>
        <w:t>探</w:t>
      </w:r>
      <w:r w:rsidR="00422206" w:rsidRPr="00256789">
        <w:rPr>
          <w:rFonts w:hint="eastAsia"/>
          <w:b/>
          <w:kern w:val="0"/>
          <w:sz w:val="26"/>
          <w:szCs w:val="26"/>
        </w:rPr>
        <w:t>討</w:t>
      </w:r>
      <w:r w:rsidR="00B76819" w:rsidRPr="00256789">
        <w:rPr>
          <w:rFonts w:hint="eastAsia"/>
          <w:sz w:val="26"/>
          <w:szCs w:val="26"/>
        </w:rPr>
        <w:t>。</w:t>
      </w:r>
    </w:p>
    <w:p w:rsidR="00382AEC" w:rsidRPr="00256789" w:rsidRDefault="00382AEC" w:rsidP="00E323BD">
      <w:pPr>
        <w:spacing w:beforeLines="50" w:before="180" w:afterLines="50" w:after="180" w:line="276" w:lineRule="auto"/>
        <w:ind w:firstLine="482"/>
        <w:jc w:val="both"/>
      </w:pPr>
      <w:r w:rsidRPr="00256789">
        <w:t>本</w:t>
      </w:r>
      <w:r w:rsidR="00F50598" w:rsidRPr="00256789">
        <w:rPr>
          <w:rFonts w:hint="eastAsia"/>
        </w:rPr>
        <w:t>次</w:t>
      </w:r>
      <w:r w:rsidRPr="00256789">
        <w:t>學術</w:t>
      </w:r>
      <w:r w:rsidRPr="00256789">
        <w:rPr>
          <w:rFonts w:ascii="標楷體" w:hAnsi="標楷體"/>
          <w:bCs/>
        </w:rPr>
        <w:t>研討會</w:t>
      </w:r>
      <w:r w:rsidRPr="00256789">
        <w:t>將於</w:t>
      </w:r>
      <w:r w:rsidRPr="00256789">
        <w:t>2020</w:t>
      </w:r>
      <w:r w:rsidRPr="00256789">
        <w:t>年</w:t>
      </w:r>
      <w:r w:rsidR="00422206" w:rsidRPr="00256789">
        <w:rPr>
          <w:rFonts w:hint="eastAsia"/>
        </w:rPr>
        <w:t>1</w:t>
      </w:r>
      <w:r w:rsidRPr="00256789">
        <w:t>月</w:t>
      </w:r>
      <w:r w:rsidR="00422206" w:rsidRPr="00256789">
        <w:rPr>
          <w:rFonts w:hint="eastAsia"/>
        </w:rPr>
        <w:t>18</w:t>
      </w:r>
      <w:r w:rsidRPr="00256789">
        <w:t>日</w:t>
      </w:r>
      <w:r w:rsidR="00F50598" w:rsidRPr="00256789">
        <w:rPr>
          <w:rFonts w:hint="eastAsia"/>
        </w:rPr>
        <w:t>假</w:t>
      </w:r>
      <w:r w:rsidR="00422206" w:rsidRPr="00256789">
        <w:rPr>
          <w:rFonts w:hint="eastAsia"/>
        </w:rPr>
        <w:t>文化部文化資產局</w:t>
      </w:r>
      <w:r w:rsidRPr="00256789">
        <w:t>舉行，歡迎相關主題研究</w:t>
      </w:r>
      <w:proofErr w:type="gramStart"/>
      <w:r w:rsidRPr="00256789">
        <w:t>論文賜稿</w:t>
      </w:r>
      <w:proofErr w:type="gramEnd"/>
      <w:r w:rsidRPr="00256789">
        <w:t>。摘要徵稿期限</w:t>
      </w:r>
      <w:r w:rsidR="00F50598" w:rsidRPr="00256789">
        <w:rPr>
          <w:rFonts w:hint="eastAsia"/>
        </w:rPr>
        <w:t>：</w:t>
      </w:r>
      <w:r w:rsidRPr="00256789">
        <w:t>2019</w:t>
      </w:r>
      <w:r w:rsidRPr="00256789">
        <w:t>年</w:t>
      </w:r>
      <w:r w:rsidR="00E94705" w:rsidRPr="00256789">
        <w:rPr>
          <w:rFonts w:hint="eastAsia"/>
        </w:rPr>
        <w:t>9</w:t>
      </w:r>
      <w:r w:rsidRPr="00256789">
        <w:t>月</w:t>
      </w:r>
      <w:r w:rsidRPr="00256789">
        <w:t>1</w:t>
      </w:r>
      <w:r w:rsidRPr="00256789">
        <w:t>日，投稿者請將</w:t>
      </w:r>
      <w:r w:rsidR="00191B19" w:rsidRPr="00256789">
        <w:rPr>
          <w:rFonts w:hint="eastAsia"/>
        </w:rPr>
        <w:t>5</w:t>
      </w:r>
      <w:r w:rsidRPr="00256789">
        <w:t>00</w:t>
      </w:r>
      <w:r w:rsidRPr="00256789">
        <w:t>字論文摘要與個人簡歷</w:t>
      </w:r>
      <w:r w:rsidRPr="00256789">
        <w:t>(</w:t>
      </w:r>
      <w:r w:rsidRPr="00256789">
        <w:t>表格如下</w:t>
      </w:r>
      <w:r w:rsidRPr="00256789">
        <w:t>)</w:t>
      </w:r>
      <w:r w:rsidRPr="00256789">
        <w:t>，寄至</w:t>
      </w:r>
      <w:r w:rsidR="00191B19" w:rsidRPr="00256789">
        <w:t>研討會官方信箱：</w:t>
      </w:r>
      <w:r w:rsidR="00191B19" w:rsidRPr="00256789">
        <w:t xml:space="preserve"> </w:t>
      </w:r>
      <w:r w:rsidR="00F06542" w:rsidRPr="00256789">
        <w:t>luckang</w:t>
      </w:r>
      <w:r w:rsidR="00C64F98" w:rsidRPr="00256789">
        <w:rPr>
          <w:rFonts w:hint="eastAsia"/>
        </w:rPr>
        <w:t>0928339402</w:t>
      </w:r>
      <w:r w:rsidR="00F06542" w:rsidRPr="00256789">
        <w:t>@gmail.com</w:t>
      </w:r>
      <w:proofErr w:type="gramStart"/>
      <w:r w:rsidR="00191B19" w:rsidRPr="00256789">
        <w:t>（</w:t>
      </w:r>
      <w:proofErr w:type="gramEnd"/>
      <w:r w:rsidR="00191B19" w:rsidRPr="00256789">
        <w:t>洽本案助理</w:t>
      </w:r>
      <w:r w:rsidR="00191B19" w:rsidRPr="00256789">
        <w:rPr>
          <w:rFonts w:ascii="新細明體" w:eastAsia="新細明體" w:hAnsi="新細明體" w:hint="eastAsia"/>
        </w:rPr>
        <w:t>：</w:t>
      </w:r>
      <w:r w:rsidR="00F06542" w:rsidRPr="00256789">
        <w:rPr>
          <w:rFonts w:hint="eastAsia"/>
        </w:rPr>
        <w:t>施</w:t>
      </w:r>
      <w:r w:rsidR="00191B19" w:rsidRPr="00256789">
        <w:rPr>
          <w:rFonts w:hint="eastAsia"/>
        </w:rPr>
        <w:t>小姐</w:t>
      </w:r>
      <w:proofErr w:type="gramStart"/>
      <w:r w:rsidR="00191B19" w:rsidRPr="00256789">
        <w:t>）</w:t>
      </w:r>
      <w:proofErr w:type="gramEnd"/>
      <w:r w:rsidR="00191B19" w:rsidRPr="00256789">
        <w:t>。</w:t>
      </w:r>
      <w:r w:rsidR="00191B19" w:rsidRPr="00256789">
        <w:t xml:space="preserve"> </w:t>
      </w:r>
    </w:p>
    <w:p w:rsidR="002564F9" w:rsidRPr="00256789" w:rsidRDefault="002564F9">
      <w:pPr>
        <w:widowControl/>
      </w:pPr>
      <w:r w:rsidRPr="00256789">
        <w:br w:type="page"/>
      </w:r>
    </w:p>
    <w:p w:rsidR="00422206" w:rsidRPr="00256789" w:rsidRDefault="00422206" w:rsidP="00422206">
      <w:pPr>
        <w:jc w:val="center"/>
        <w:rPr>
          <w:sz w:val="44"/>
          <w:szCs w:val="48"/>
        </w:rPr>
      </w:pPr>
      <w:r w:rsidRPr="00256789">
        <w:rPr>
          <w:rFonts w:hint="eastAsia"/>
          <w:sz w:val="44"/>
          <w:szCs w:val="48"/>
        </w:rPr>
        <w:lastRenderedPageBreak/>
        <w:t>文物普查</w:t>
      </w:r>
      <w:r w:rsidR="00707425" w:rsidRPr="00256789">
        <w:rPr>
          <w:rFonts w:hint="eastAsia"/>
          <w:sz w:val="44"/>
          <w:szCs w:val="48"/>
        </w:rPr>
        <w:t>與暫行分級</w:t>
      </w:r>
      <w:r w:rsidRPr="00256789">
        <w:rPr>
          <w:rFonts w:hint="eastAsia"/>
          <w:sz w:val="44"/>
          <w:szCs w:val="48"/>
        </w:rPr>
        <w:t>推動之實務與挑戰</w:t>
      </w:r>
    </w:p>
    <w:p w:rsidR="002564F9" w:rsidRPr="00256789" w:rsidRDefault="00422206" w:rsidP="00422206">
      <w:pPr>
        <w:spacing w:line="0" w:lineRule="atLeast"/>
        <w:jc w:val="center"/>
        <w:rPr>
          <w:b/>
          <w:sz w:val="32"/>
          <w:szCs w:val="32"/>
        </w:rPr>
      </w:pPr>
      <w:r w:rsidRPr="00256789">
        <w:rPr>
          <w:rFonts w:hint="eastAsia"/>
          <w:bCs/>
          <w:sz w:val="44"/>
          <w:szCs w:val="48"/>
        </w:rPr>
        <w:t>研討會</w:t>
      </w:r>
    </w:p>
    <w:p w:rsidR="00014497" w:rsidRPr="00256789" w:rsidRDefault="00014497" w:rsidP="00014497">
      <w:pPr>
        <w:spacing w:line="0" w:lineRule="atLeast"/>
        <w:jc w:val="center"/>
        <w:rPr>
          <w:b/>
          <w:sz w:val="16"/>
          <w:szCs w:val="16"/>
        </w:rPr>
      </w:pPr>
    </w:p>
    <w:p w:rsidR="002564F9" w:rsidRPr="00256789" w:rsidRDefault="002564F9" w:rsidP="002564F9">
      <w:pPr>
        <w:spacing w:afterLines="50" w:after="180" w:line="0" w:lineRule="atLeast"/>
        <w:jc w:val="center"/>
        <w:rPr>
          <w:b/>
          <w:sz w:val="28"/>
          <w:szCs w:val="28"/>
        </w:rPr>
      </w:pPr>
      <w:r w:rsidRPr="00256789">
        <w:rPr>
          <w:b/>
          <w:sz w:val="28"/>
          <w:szCs w:val="28"/>
        </w:rPr>
        <w:t>論文摘要回執聯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2985"/>
        <w:gridCol w:w="1417"/>
        <w:gridCol w:w="2664"/>
      </w:tblGrid>
      <w:tr w:rsidR="00256789" w:rsidRPr="00256789" w:rsidTr="00105783">
        <w:trPr>
          <w:cantSplit/>
          <w:trHeight w:val="507"/>
        </w:trPr>
        <w:tc>
          <w:tcPr>
            <w:tcW w:w="12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4F9" w:rsidRPr="00256789" w:rsidRDefault="002564F9" w:rsidP="00105783">
            <w:r w:rsidRPr="00256789">
              <w:t>姓名</w:t>
            </w:r>
          </w:p>
        </w:tc>
        <w:tc>
          <w:tcPr>
            <w:tcW w:w="2985" w:type="dxa"/>
            <w:tcBorders>
              <w:top w:val="double" w:sz="4" w:space="0" w:color="auto"/>
            </w:tcBorders>
            <w:vAlign w:val="center"/>
          </w:tcPr>
          <w:p w:rsidR="002564F9" w:rsidRPr="00256789" w:rsidRDefault="002564F9" w:rsidP="00105783"/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564F9" w:rsidRPr="00256789" w:rsidRDefault="002564F9" w:rsidP="00105783">
            <w:pPr>
              <w:jc w:val="center"/>
            </w:pPr>
            <w:r w:rsidRPr="00256789">
              <w:t>出生年月日</w:t>
            </w:r>
          </w:p>
        </w:tc>
        <w:tc>
          <w:tcPr>
            <w:tcW w:w="26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4F9" w:rsidRPr="00256789" w:rsidRDefault="002564F9" w:rsidP="00105783">
            <w:r w:rsidRPr="00256789">
              <w:t xml:space="preserve">      </w:t>
            </w:r>
            <w:r w:rsidRPr="00256789">
              <w:t>年</w:t>
            </w:r>
            <w:r w:rsidRPr="00256789">
              <w:t xml:space="preserve">     </w:t>
            </w:r>
            <w:r w:rsidRPr="00256789">
              <w:t>月</w:t>
            </w:r>
            <w:r w:rsidRPr="00256789">
              <w:t xml:space="preserve">    </w:t>
            </w:r>
            <w:r w:rsidRPr="00256789">
              <w:t>日</w:t>
            </w:r>
          </w:p>
        </w:tc>
      </w:tr>
      <w:tr w:rsidR="00256789" w:rsidRPr="00256789" w:rsidTr="00105783">
        <w:trPr>
          <w:cantSplit/>
          <w:trHeight w:val="20"/>
        </w:trPr>
        <w:tc>
          <w:tcPr>
            <w:tcW w:w="1296" w:type="dxa"/>
            <w:tcBorders>
              <w:left w:val="double" w:sz="4" w:space="0" w:color="auto"/>
            </w:tcBorders>
          </w:tcPr>
          <w:p w:rsidR="002564F9" w:rsidRPr="00256789" w:rsidRDefault="002564F9" w:rsidP="00105783">
            <w:r w:rsidRPr="00256789">
              <w:t>服務單位、職稱</w:t>
            </w:r>
          </w:p>
        </w:tc>
        <w:tc>
          <w:tcPr>
            <w:tcW w:w="7066" w:type="dxa"/>
            <w:gridSpan w:val="3"/>
            <w:tcBorders>
              <w:right w:val="double" w:sz="4" w:space="0" w:color="auto"/>
            </w:tcBorders>
          </w:tcPr>
          <w:p w:rsidR="002564F9" w:rsidRPr="00256789" w:rsidRDefault="002564F9" w:rsidP="00105783"/>
        </w:tc>
      </w:tr>
      <w:tr w:rsidR="00256789" w:rsidRPr="00256789" w:rsidTr="00105783">
        <w:trPr>
          <w:cantSplit/>
          <w:trHeight w:val="486"/>
        </w:trPr>
        <w:tc>
          <w:tcPr>
            <w:tcW w:w="1296" w:type="dxa"/>
            <w:tcBorders>
              <w:left w:val="double" w:sz="4" w:space="0" w:color="auto"/>
            </w:tcBorders>
          </w:tcPr>
          <w:p w:rsidR="002564F9" w:rsidRPr="00256789" w:rsidRDefault="002564F9" w:rsidP="00105783">
            <w:r w:rsidRPr="00256789">
              <w:t>通訊處</w:t>
            </w:r>
          </w:p>
        </w:tc>
        <w:tc>
          <w:tcPr>
            <w:tcW w:w="7066" w:type="dxa"/>
            <w:gridSpan w:val="3"/>
            <w:tcBorders>
              <w:right w:val="double" w:sz="4" w:space="0" w:color="auto"/>
            </w:tcBorders>
          </w:tcPr>
          <w:p w:rsidR="002564F9" w:rsidRPr="00256789" w:rsidRDefault="002564F9" w:rsidP="00105783"/>
        </w:tc>
      </w:tr>
      <w:tr w:rsidR="00256789" w:rsidRPr="00256789" w:rsidTr="00105783">
        <w:trPr>
          <w:cantSplit/>
          <w:trHeight w:val="20"/>
        </w:trPr>
        <w:tc>
          <w:tcPr>
            <w:tcW w:w="1296" w:type="dxa"/>
            <w:tcBorders>
              <w:left w:val="double" w:sz="4" w:space="0" w:color="auto"/>
            </w:tcBorders>
          </w:tcPr>
          <w:p w:rsidR="002564F9" w:rsidRPr="00256789" w:rsidRDefault="002564F9" w:rsidP="00105783">
            <w:r w:rsidRPr="00256789">
              <w:t>聯絡方式</w:t>
            </w:r>
          </w:p>
        </w:tc>
        <w:tc>
          <w:tcPr>
            <w:tcW w:w="2985" w:type="dxa"/>
          </w:tcPr>
          <w:p w:rsidR="002564F9" w:rsidRPr="00256789" w:rsidRDefault="002564F9" w:rsidP="00105783">
            <w:r w:rsidRPr="00256789">
              <w:t>電話：</w:t>
            </w:r>
          </w:p>
          <w:p w:rsidR="002564F9" w:rsidRPr="00256789" w:rsidRDefault="002564F9" w:rsidP="00105783">
            <w:r w:rsidRPr="00256789">
              <w:t>手機：</w:t>
            </w:r>
          </w:p>
        </w:tc>
        <w:tc>
          <w:tcPr>
            <w:tcW w:w="4081" w:type="dxa"/>
            <w:gridSpan w:val="2"/>
            <w:tcBorders>
              <w:right w:val="double" w:sz="4" w:space="0" w:color="auto"/>
            </w:tcBorders>
          </w:tcPr>
          <w:p w:rsidR="002564F9" w:rsidRPr="00256789" w:rsidRDefault="002564F9" w:rsidP="00105783">
            <w:r w:rsidRPr="00256789">
              <w:t>E-mail</w:t>
            </w:r>
            <w:r w:rsidRPr="00256789">
              <w:t>：</w:t>
            </w:r>
          </w:p>
        </w:tc>
      </w:tr>
      <w:tr w:rsidR="00256789" w:rsidRPr="00256789" w:rsidTr="00105783">
        <w:trPr>
          <w:cantSplit/>
          <w:trHeight w:val="460"/>
        </w:trPr>
        <w:tc>
          <w:tcPr>
            <w:tcW w:w="1296" w:type="dxa"/>
            <w:tcBorders>
              <w:left w:val="double" w:sz="4" w:space="0" w:color="auto"/>
            </w:tcBorders>
          </w:tcPr>
          <w:p w:rsidR="002564F9" w:rsidRPr="00256789" w:rsidRDefault="002564F9" w:rsidP="00105783">
            <w:r w:rsidRPr="00256789">
              <w:t>作者簡介</w:t>
            </w:r>
          </w:p>
        </w:tc>
        <w:tc>
          <w:tcPr>
            <w:tcW w:w="7066" w:type="dxa"/>
            <w:gridSpan w:val="3"/>
            <w:tcBorders>
              <w:right w:val="double" w:sz="4" w:space="0" w:color="auto"/>
            </w:tcBorders>
          </w:tcPr>
          <w:p w:rsidR="002564F9" w:rsidRPr="00256789" w:rsidRDefault="002564F9" w:rsidP="00105783">
            <w:r w:rsidRPr="00256789">
              <w:t>現職：</w:t>
            </w:r>
            <w:r w:rsidRPr="00256789">
              <w:t xml:space="preserve"> </w:t>
            </w:r>
          </w:p>
          <w:p w:rsidR="002564F9" w:rsidRPr="00256789" w:rsidRDefault="002564F9" w:rsidP="00105783">
            <w:r w:rsidRPr="00256789">
              <w:t>經歷：</w:t>
            </w:r>
          </w:p>
        </w:tc>
      </w:tr>
      <w:tr w:rsidR="00256789" w:rsidRPr="00256789" w:rsidTr="00105783">
        <w:trPr>
          <w:cantSplit/>
          <w:trHeight w:val="443"/>
        </w:trPr>
        <w:tc>
          <w:tcPr>
            <w:tcW w:w="1296" w:type="dxa"/>
            <w:tcBorders>
              <w:left w:val="double" w:sz="4" w:space="0" w:color="auto"/>
            </w:tcBorders>
            <w:vAlign w:val="center"/>
          </w:tcPr>
          <w:p w:rsidR="002564F9" w:rsidRPr="00256789" w:rsidRDefault="002564F9" w:rsidP="00105783">
            <w:r w:rsidRPr="00256789">
              <w:t>最高學歷</w:t>
            </w:r>
          </w:p>
        </w:tc>
        <w:tc>
          <w:tcPr>
            <w:tcW w:w="7066" w:type="dxa"/>
            <w:gridSpan w:val="3"/>
            <w:tcBorders>
              <w:right w:val="double" w:sz="4" w:space="0" w:color="auto"/>
            </w:tcBorders>
          </w:tcPr>
          <w:p w:rsidR="002564F9" w:rsidRPr="00256789" w:rsidRDefault="002564F9" w:rsidP="00105783"/>
        </w:tc>
      </w:tr>
      <w:tr w:rsidR="00256789" w:rsidRPr="00256789" w:rsidTr="00105783">
        <w:trPr>
          <w:cantSplit/>
          <w:trHeight w:val="453"/>
        </w:trPr>
        <w:tc>
          <w:tcPr>
            <w:tcW w:w="1296" w:type="dxa"/>
            <w:tcBorders>
              <w:left w:val="double" w:sz="4" w:space="0" w:color="auto"/>
            </w:tcBorders>
            <w:vAlign w:val="center"/>
          </w:tcPr>
          <w:p w:rsidR="002564F9" w:rsidRPr="00256789" w:rsidRDefault="002564F9" w:rsidP="00105783">
            <w:r w:rsidRPr="00256789">
              <w:t>主要著作</w:t>
            </w:r>
          </w:p>
        </w:tc>
        <w:tc>
          <w:tcPr>
            <w:tcW w:w="7066" w:type="dxa"/>
            <w:gridSpan w:val="3"/>
            <w:tcBorders>
              <w:right w:val="double" w:sz="4" w:space="0" w:color="auto"/>
            </w:tcBorders>
          </w:tcPr>
          <w:p w:rsidR="002564F9" w:rsidRPr="00256789" w:rsidRDefault="002564F9" w:rsidP="00105783"/>
        </w:tc>
      </w:tr>
      <w:tr w:rsidR="00256789" w:rsidRPr="00256789" w:rsidTr="00105783">
        <w:trPr>
          <w:cantSplit/>
          <w:trHeight w:val="434"/>
        </w:trPr>
        <w:tc>
          <w:tcPr>
            <w:tcW w:w="1296" w:type="dxa"/>
            <w:tcBorders>
              <w:left w:val="double" w:sz="4" w:space="0" w:color="auto"/>
            </w:tcBorders>
            <w:vAlign w:val="center"/>
          </w:tcPr>
          <w:p w:rsidR="002564F9" w:rsidRPr="00256789" w:rsidRDefault="002564F9" w:rsidP="00105783">
            <w:r w:rsidRPr="00256789">
              <w:t>論文題目</w:t>
            </w:r>
          </w:p>
        </w:tc>
        <w:tc>
          <w:tcPr>
            <w:tcW w:w="7066" w:type="dxa"/>
            <w:gridSpan w:val="3"/>
            <w:tcBorders>
              <w:bottom w:val="nil"/>
              <w:right w:val="double" w:sz="4" w:space="0" w:color="auto"/>
            </w:tcBorders>
          </w:tcPr>
          <w:p w:rsidR="002564F9" w:rsidRPr="00256789" w:rsidRDefault="002564F9" w:rsidP="00105783"/>
        </w:tc>
      </w:tr>
      <w:tr w:rsidR="00256789" w:rsidRPr="00256789" w:rsidTr="00014497">
        <w:trPr>
          <w:cantSplit/>
          <w:trHeight w:val="6560"/>
        </w:trPr>
        <w:tc>
          <w:tcPr>
            <w:tcW w:w="12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564F9" w:rsidRPr="00256789" w:rsidRDefault="002564F9" w:rsidP="00105783">
            <w:r w:rsidRPr="00256789">
              <w:t>論文摘要</w:t>
            </w:r>
          </w:p>
        </w:tc>
        <w:tc>
          <w:tcPr>
            <w:tcW w:w="706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2564F9" w:rsidRPr="00256789" w:rsidRDefault="002564F9" w:rsidP="00105783"/>
        </w:tc>
      </w:tr>
    </w:tbl>
    <w:p w:rsidR="002564F9" w:rsidRPr="00256789" w:rsidRDefault="002564F9" w:rsidP="002564F9">
      <w:pPr>
        <w:pStyle w:val="Default"/>
        <w:jc w:val="both"/>
        <w:rPr>
          <w:rFonts w:ascii="Times New Roman" w:cs="Times New Roman"/>
          <w:color w:val="auto"/>
        </w:rPr>
      </w:pPr>
      <w:proofErr w:type="gramStart"/>
      <w:r w:rsidRPr="00256789">
        <w:rPr>
          <w:rFonts w:ascii="Times New Roman" w:cs="Times New Roman"/>
          <w:b/>
          <w:color w:val="auto"/>
        </w:rPr>
        <w:t>論</w:t>
      </w:r>
      <w:r w:rsidR="00B078D3" w:rsidRPr="00256789">
        <w:rPr>
          <w:rFonts w:ascii="Times New Roman" w:cs="Times New Roman" w:hint="eastAsia"/>
          <w:b/>
          <w:color w:val="auto"/>
        </w:rPr>
        <w:t>文全稿</w:t>
      </w:r>
      <w:r w:rsidRPr="00256789">
        <w:rPr>
          <w:rFonts w:ascii="Times New Roman" w:cs="Times New Roman"/>
          <w:b/>
          <w:color w:val="auto"/>
        </w:rPr>
        <w:t>於</w:t>
      </w:r>
      <w:proofErr w:type="gramEnd"/>
      <w:r w:rsidR="00014497" w:rsidRPr="00256789">
        <w:rPr>
          <w:rFonts w:ascii="Times New Roman" w:cs="Times New Roman"/>
          <w:b/>
          <w:color w:val="auto"/>
        </w:rPr>
        <w:t>20</w:t>
      </w:r>
      <w:r w:rsidR="00422206" w:rsidRPr="00256789">
        <w:rPr>
          <w:rFonts w:ascii="Times New Roman" w:cs="Times New Roman" w:hint="eastAsia"/>
          <w:b/>
          <w:color w:val="auto"/>
        </w:rPr>
        <w:t>19</w:t>
      </w:r>
      <w:r w:rsidRPr="00256789">
        <w:rPr>
          <w:rFonts w:ascii="Times New Roman" w:cs="Times New Roman"/>
          <w:b/>
          <w:color w:val="auto"/>
        </w:rPr>
        <w:t>年</w:t>
      </w:r>
      <w:r w:rsidR="00E323BD" w:rsidRPr="00256789">
        <w:rPr>
          <w:rFonts w:ascii="Times New Roman" w:cs="Times New Roman" w:hint="eastAsia"/>
          <w:b/>
          <w:color w:val="auto"/>
        </w:rPr>
        <w:t>12</w:t>
      </w:r>
      <w:r w:rsidRPr="00256789">
        <w:rPr>
          <w:rFonts w:ascii="Times New Roman" w:cs="Times New Roman"/>
          <w:b/>
          <w:color w:val="auto"/>
        </w:rPr>
        <w:t>月</w:t>
      </w:r>
      <w:r w:rsidR="00014497" w:rsidRPr="00256789">
        <w:rPr>
          <w:rFonts w:ascii="Times New Roman" w:cs="Times New Roman"/>
          <w:b/>
          <w:color w:val="auto"/>
        </w:rPr>
        <w:t>1</w:t>
      </w:r>
      <w:r w:rsidR="00E323BD" w:rsidRPr="00256789">
        <w:rPr>
          <w:rFonts w:ascii="Times New Roman" w:cs="Times New Roman" w:hint="eastAsia"/>
          <w:b/>
          <w:color w:val="auto"/>
        </w:rPr>
        <w:t>5</w:t>
      </w:r>
      <w:r w:rsidRPr="00256789">
        <w:rPr>
          <w:rFonts w:ascii="Times New Roman" w:cs="Times New Roman"/>
          <w:b/>
          <w:color w:val="auto"/>
        </w:rPr>
        <w:t>日截稿</w:t>
      </w:r>
      <w:r w:rsidRPr="00256789">
        <w:rPr>
          <w:rFonts w:ascii="Times New Roman" w:cs="Times New Roman"/>
          <w:b/>
          <w:color w:val="auto"/>
        </w:rPr>
        <w:t xml:space="preserve"> </w:t>
      </w:r>
      <w:bookmarkEnd w:id="0"/>
    </w:p>
    <w:sectPr w:rsidR="002564F9" w:rsidRPr="002567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DE" w:rsidRDefault="003859DE" w:rsidP="002564F9">
      <w:r>
        <w:separator/>
      </w:r>
    </w:p>
  </w:endnote>
  <w:endnote w:type="continuationSeparator" w:id="0">
    <w:p w:rsidR="003859DE" w:rsidRDefault="003859DE" w:rsidP="0025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CID Font+ F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DE" w:rsidRDefault="003859DE" w:rsidP="002564F9">
      <w:r>
        <w:separator/>
      </w:r>
    </w:p>
  </w:footnote>
  <w:footnote w:type="continuationSeparator" w:id="0">
    <w:p w:rsidR="003859DE" w:rsidRDefault="003859DE" w:rsidP="0025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F9"/>
    <w:rsid w:val="00013C56"/>
    <w:rsid w:val="00014497"/>
    <w:rsid w:val="00015106"/>
    <w:rsid w:val="000240E5"/>
    <w:rsid w:val="00045F08"/>
    <w:rsid w:val="00076FEF"/>
    <w:rsid w:val="00095C2E"/>
    <w:rsid w:val="00095CC5"/>
    <w:rsid w:val="000B5D47"/>
    <w:rsid w:val="000F3BA8"/>
    <w:rsid w:val="00191B19"/>
    <w:rsid w:val="00195E21"/>
    <w:rsid w:val="001A5803"/>
    <w:rsid w:val="001C0CAF"/>
    <w:rsid w:val="001D4383"/>
    <w:rsid w:val="001F3D99"/>
    <w:rsid w:val="00245408"/>
    <w:rsid w:val="002564F9"/>
    <w:rsid w:val="00256789"/>
    <w:rsid w:val="00343AD6"/>
    <w:rsid w:val="00382AEC"/>
    <w:rsid w:val="003859DE"/>
    <w:rsid w:val="003B01DB"/>
    <w:rsid w:val="003C3064"/>
    <w:rsid w:val="00422206"/>
    <w:rsid w:val="004811BC"/>
    <w:rsid w:val="0049653B"/>
    <w:rsid w:val="004B2048"/>
    <w:rsid w:val="004C11C6"/>
    <w:rsid w:val="004F7802"/>
    <w:rsid w:val="005771B9"/>
    <w:rsid w:val="005E5617"/>
    <w:rsid w:val="00605D3A"/>
    <w:rsid w:val="006062F0"/>
    <w:rsid w:val="006558F3"/>
    <w:rsid w:val="006E164F"/>
    <w:rsid w:val="00707425"/>
    <w:rsid w:val="00736FFB"/>
    <w:rsid w:val="00751AD4"/>
    <w:rsid w:val="007579B2"/>
    <w:rsid w:val="0079322E"/>
    <w:rsid w:val="009028D7"/>
    <w:rsid w:val="00927170"/>
    <w:rsid w:val="009430F0"/>
    <w:rsid w:val="009911E3"/>
    <w:rsid w:val="009A6FB9"/>
    <w:rsid w:val="009C1953"/>
    <w:rsid w:val="009F6F30"/>
    <w:rsid w:val="00A11379"/>
    <w:rsid w:val="00A231A9"/>
    <w:rsid w:val="00AC0054"/>
    <w:rsid w:val="00AD1621"/>
    <w:rsid w:val="00AF1C79"/>
    <w:rsid w:val="00B078D3"/>
    <w:rsid w:val="00B76819"/>
    <w:rsid w:val="00BB6991"/>
    <w:rsid w:val="00BD014B"/>
    <w:rsid w:val="00C47228"/>
    <w:rsid w:val="00C64F98"/>
    <w:rsid w:val="00C7605E"/>
    <w:rsid w:val="00D25229"/>
    <w:rsid w:val="00D95400"/>
    <w:rsid w:val="00DC4DD5"/>
    <w:rsid w:val="00DF4522"/>
    <w:rsid w:val="00E01B4F"/>
    <w:rsid w:val="00E15376"/>
    <w:rsid w:val="00E323BD"/>
    <w:rsid w:val="00E94705"/>
    <w:rsid w:val="00EC292E"/>
    <w:rsid w:val="00ED10F4"/>
    <w:rsid w:val="00EE12E1"/>
    <w:rsid w:val="00F06542"/>
    <w:rsid w:val="00F50598"/>
    <w:rsid w:val="00F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F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64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564F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footnote text"/>
    <w:aliases w:val="字元,字元 字元 字元 字元 字元,字元3,字元3 字元,百後註腳文字,（史學彙刊）, 字元3, 字元3 字元,註腳文字 字元 字元 字元"/>
    <w:basedOn w:val="a"/>
    <w:link w:val="a6"/>
    <w:rsid w:val="002564F9"/>
    <w:pPr>
      <w:snapToGrid w:val="0"/>
    </w:pPr>
    <w:rPr>
      <w:sz w:val="20"/>
      <w:szCs w:val="20"/>
    </w:rPr>
  </w:style>
  <w:style w:type="character" w:customStyle="1" w:styleId="a6">
    <w:name w:val="註腳文字 字元"/>
    <w:aliases w:val="字元 字元,字元 字元 字元 字元 字元 字元,字元3 字元1,字元3 字元 字元,百後註腳文字 字元,（史學彙刊） 字元1, 字元3 字元1, 字元3 字元 字元,註腳文字 字元 字元 字元 字元"/>
    <w:basedOn w:val="a0"/>
    <w:link w:val="a5"/>
    <w:rsid w:val="002564F9"/>
    <w:rPr>
      <w:rFonts w:ascii="Times New Roman" w:eastAsia="標楷體" w:hAnsi="Times New Roman" w:cs="Times New Roman"/>
      <w:sz w:val="20"/>
      <w:szCs w:val="20"/>
    </w:rPr>
  </w:style>
  <w:style w:type="character" w:styleId="a7">
    <w:name w:val="footnote reference"/>
    <w:rsid w:val="002564F9"/>
    <w:rPr>
      <w:vertAlign w:val="superscript"/>
    </w:rPr>
  </w:style>
  <w:style w:type="character" w:styleId="a8">
    <w:name w:val="Hyperlink"/>
    <w:basedOn w:val="a0"/>
    <w:uiPriority w:val="99"/>
    <w:unhideWhenUsed/>
    <w:rsid w:val="0079322E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9322E"/>
    <w:rPr>
      <w:color w:val="808080"/>
      <w:shd w:val="clear" w:color="auto" w:fill="E6E6E6"/>
    </w:rPr>
  </w:style>
  <w:style w:type="paragraph" w:styleId="a9">
    <w:name w:val="Body Text"/>
    <w:basedOn w:val="a"/>
    <w:link w:val="aa"/>
    <w:rsid w:val="00014497"/>
    <w:pPr>
      <w:snapToGrid w:val="0"/>
      <w:spacing w:line="380" w:lineRule="atLeast"/>
      <w:ind w:firstLineChars="200" w:firstLine="200"/>
      <w:jc w:val="both"/>
    </w:pPr>
    <w:rPr>
      <w:rFonts w:eastAsia="新細明體"/>
      <w:szCs w:val="20"/>
    </w:rPr>
  </w:style>
  <w:style w:type="character" w:customStyle="1" w:styleId="aa">
    <w:name w:val="本文 字元"/>
    <w:basedOn w:val="a0"/>
    <w:link w:val="a9"/>
    <w:rsid w:val="00014497"/>
    <w:rPr>
      <w:rFonts w:ascii="Times New Roman" w:eastAsia="新細明體" w:hAnsi="Times New Roman" w:cs="Times New Roman"/>
      <w:szCs w:val="20"/>
    </w:rPr>
  </w:style>
  <w:style w:type="character" w:customStyle="1" w:styleId="10">
    <w:name w:val="註腳文字 字元1"/>
    <w:aliases w:val="字元 字元1,字元 字元 字元 字元 字元 字元1,字元3 字元2,字元3 字元 字元1,百後註腳文字 字元1,（史學彙刊） 字元"/>
    <w:rsid w:val="00014497"/>
    <w:rPr>
      <w:rFonts w:eastAsia="標楷體"/>
      <w:lang w:val="en-US" w:eastAsia="zh-TW" w:bidi="ar-SA"/>
    </w:rPr>
  </w:style>
  <w:style w:type="character" w:styleId="ab">
    <w:name w:val="annotation reference"/>
    <w:basedOn w:val="a0"/>
    <w:uiPriority w:val="99"/>
    <w:semiHidden/>
    <w:unhideWhenUsed/>
    <w:rsid w:val="00DF45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F4522"/>
  </w:style>
  <w:style w:type="character" w:customStyle="1" w:styleId="ad">
    <w:name w:val="註解文字 字元"/>
    <w:basedOn w:val="a0"/>
    <w:link w:val="ac"/>
    <w:uiPriority w:val="99"/>
    <w:semiHidden/>
    <w:rsid w:val="00DF4522"/>
    <w:rPr>
      <w:rFonts w:ascii="Times New Roman" w:eastAsia="標楷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452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F4522"/>
    <w:rPr>
      <w:rFonts w:ascii="Times New Roman" w:eastAsia="標楷體" w:hAnsi="Times New Roman" w:cs="Times New Roman"/>
      <w:b/>
      <w:bCs/>
      <w:szCs w:val="24"/>
    </w:rPr>
  </w:style>
  <w:style w:type="paragraph" w:styleId="af0">
    <w:name w:val="header"/>
    <w:basedOn w:val="a"/>
    <w:link w:val="af1"/>
    <w:uiPriority w:val="99"/>
    <w:unhideWhenUsed/>
    <w:rsid w:val="0038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382AEC"/>
    <w:rPr>
      <w:rFonts w:ascii="Times New Roman" w:eastAsia="標楷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38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382AEC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F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64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564F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footnote text"/>
    <w:aliases w:val="字元,字元 字元 字元 字元 字元,字元3,字元3 字元,百後註腳文字,（史學彙刊）, 字元3, 字元3 字元,註腳文字 字元 字元 字元"/>
    <w:basedOn w:val="a"/>
    <w:link w:val="a6"/>
    <w:rsid w:val="002564F9"/>
    <w:pPr>
      <w:snapToGrid w:val="0"/>
    </w:pPr>
    <w:rPr>
      <w:sz w:val="20"/>
      <w:szCs w:val="20"/>
    </w:rPr>
  </w:style>
  <w:style w:type="character" w:customStyle="1" w:styleId="a6">
    <w:name w:val="註腳文字 字元"/>
    <w:aliases w:val="字元 字元,字元 字元 字元 字元 字元 字元,字元3 字元1,字元3 字元 字元,百後註腳文字 字元,（史學彙刊） 字元1, 字元3 字元1, 字元3 字元 字元,註腳文字 字元 字元 字元 字元"/>
    <w:basedOn w:val="a0"/>
    <w:link w:val="a5"/>
    <w:rsid w:val="002564F9"/>
    <w:rPr>
      <w:rFonts w:ascii="Times New Roman" w:eastAsia="標楷體" w:hAnsi="Times New Roman" w:cs="Times New Roman"/>
      <w:sz w:val="20"/>
      <w:szCs w:val="20"/>
    </w:rPr>
  </w:style>
  <w:style w:type="character" w:styleId="a7">
    <w:name w:val="footnote reference"/>
    <w:rsid w:val="002564F9"/>
    <w:rPr>
      <w:vertAlign w:val="superscript"/>
    </w:rPr>
  </w:style>
  <w:style w:type="character" w:styleId="a8">
    <w:name w:val="Hyperlink"/>
    <w:basedOn w:val="a0"/>
    <w:uiPriority w:val="99"/>
    <w:unhideWhenUsed/>
    <w:rsid w:val="0079322E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9322E"/>
    <w:rPr>
      <w:color w:val="808080"/>
      <w:shd w:val="clear" w:color="auto" w:fill="E6E6E6"/>
    </w:rPr>
  </w:style>
  <w:style w:type="paragraph" w:styleId="a9">
    <w:name w:val="Body Text"/>
    <w:basedOn w:val="a"/>
    <w:link w:val="aa"/>
    <w:rsid w:val="00014497"/>
    <w:pPr>
      <w:snapToGrid w:val="0"/>
      <w:spacing w:line="380" w:lineRule="atLeast"/>
      <w:ind w:firstLineChars="200" w:firstLine="200"/>
      <w:jc w:val="both"/>
    </w:pPr>
    <w:rPr>
      <w:rFonts w:eastAsia="新細明體"/>
      <w:szCs w:val="20"/>
    </w:rPr>
  </w:style>
  <w:style w:type="character" w:customStyle="1" w:styleId="aa">
    <w:name w:val="本文 字元"/>
    <w:basedOn w:val="a0"/>
    <w:link w:val="a9"/>
    <w:rsid w:val="00014497"/>
    <w:rPr>
      <w:rFonts w:ascii="Times New Roman" w:eastAsia="新細明體" w:hAnsi="Times New Roman" w:cs="Times New Roman"/>
      <w:szCs w:val="20"/>
    </w:rPr>
  </w:style>
  <w:style w:type="character" w:customStyle="1" w:styleId="10">
    <w:name w:val="註腳文字 字元1"/>
    <w:aliases w:val="字元 字元1,字元 字元 字元 字元 字元 字元1,字元3 字元2,字元3 字元 字元1,百後註腳文字 字元1,（史學彙刊） 字元"/>
    <w:rsid w:val="00014497"/>
    <w:rPr>
      <w:rFonts w:eastAsia="標楷體"/>
      <w:lang w:val="en-US" w:eastAsia="zh-TW" w:bidi="ar-SA"/>
    </w:rPr>
  </w:style>
  <w:style w:type="character" w:styleId="ab">
    <w:name w:val="annotation reference"/>
    <w:basedOn w:val="a0"/>
    <w:uiPriority w:val="99"/>
    <w:semiHidden/>
    <w:unhideWhenUsed/>
    <w:rsid w:val="00DF45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F4522"/>
  </w:style>
  <w:style w:type="character" w:customStyle="1" w:styleId="ad">
    <w:name w:val="註解文字 字元"/>
    <w:basedOn w:val="a0"/>
    <w:link w:val="ac"/>
    <w:uiPriority w:val="99"/>
    <w:semiHidden/>
    <w:rsid w:val="00DF4522"/>
    <w:rPr>
      <w:rFonts w:ascii="Times New Roman" w:eastAsia="標楷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452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F4522"/>
    <w:rPr>
      <w:rFonts w:ascii="Times New Roman" w:eastAsia="標楷體" w:hAnsi="Times New Roman" w:cs="Times New Roman"/>
      <w:b/>
      <w:bCs/>
      <w:szCs w:val="24"/>
    </w:rPr>
  </w:style>
  <w:style w:type="paragraph" w:styleId="af0">
    <w:name w:val="header"/>
    <w:basedOn w:val="a"/>
    <w:link w:val="af1"/>
    <w:uiPriority w:val="99"/>
    <w:unhideWhenUsed/>
    <w:rsid w:val="0038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382AEC"/>
    <w:rPr>
      <w:rFonts w:ascii="Times New Roman" w:eastAsia="標楷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38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382AEC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BOCH楊善淵</cp:lastModifiedBy>
  <cp:revision>6</cp:revision>
  <dcterms:created xsi:type="dcterms:W3CDTF">2019-06-13T08:14:00Z</dcterms:created>
  <dcterms:modified xsi:type="dcterms:W3CDTF">2019-06-17T01:33:00Z</dcterms:modified>
</cp:coreProperties>
</file>